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Absender</w:t>
        <w:t xml:space="preserve">                                                                                                      Datum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 die</w:t>
      </w:r>
    </w:p>
    <w:p>
      <w:pPr>
        <w:pStyle w:val="Normal"/>
        <w:rPr/>
      </w:pPr>
      <w:r>
        <w:rPr/>
        <w:t xml:space="preserve">zuständige Bezügestelle </w:t>
      </w:r>
    </w:p>
    <w:p>
      <w:pPr>
        <w:pStyle w:val="Normal"/>
        <w:rPr/>
      </w:pPr>
      <w:r>
        <w:rPr/>
        <w:t>(LSF etc.; Adressat je nach Dienstherr anpassen)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Personalnummer: 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Antrag auf Gewährung einer amtsangemessenen Alimentation</w:t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Sehr geehrte Damen und Herren,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der Antrag dient vornehmlich der Sicherung meiner Rechte mit Blick </w:t>
      </w:r>
      <w:r>
        <w:rPr/>
        <w:t>auf Zweifel daran, ob die Besoldung in Sachsen amtsangemessen ist. Hierzu verweise ich auf den Vorlagebeschluss des VG Chemnitz an das Bundesverfassungsgericht vom 8. November 2018 – 3 K 2000/15 – sowie auf weitere ähnlich gelagerte beim Bundesverfassungsgericht anhängige Verfahren.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Der Antrag </w:t>
      </w:r>
      <w:r>
        <w:rPr/>
        <w:t>be</w:t>
      </w:r>
      <w:r>
        <w:rPr/>
        <w:t>zieht sich</w:t>
      </w:r>
      <w:r>
        <w:rPr/>
        <w:t xml:space="preserve"> </w:t>
      </w:r>
      <w:r>
        <w:rPr/>
        <w:t>ausgehend vom</w:t>
      </w:r>
      <w:r>
        <w:rPr/>
        <w:t xml:space="preserve"> Vorlagebeschluss </w:t>
      </w:r>
      <w:r>
        <w:rPr/>
        <w:t>des VG Chemnitz auf die Jahre 2011 bis 2019 und ggf. fortfolgende Jahre.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</w:t>
      </w:r>
      <w:r>
        <w:rPr/>
        <w:t>is zur endgültigen Entscheidung des Bundesverfassungsgerichts</w:t>
        <w:t xml:space="preserve"> </w:t>
      </w:r>
      <w:r>
        <w:rPr/>
        <w:t xml:space="preserve">bitte ich, </w:t>
      </w:r>
      <w:r>
        <w:rPr/>
        <w:t>meinen Antrag ruhen zu lassen, auf die Einrede der Verjährung zu verzichten und mir dies</w:t>
        <w:t xml:space="preserve"> entsprechend zu bestätigen.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Mit freundlichen Grüßen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2019-11-28T17:21:52Z</dcterms:created>
  <dc:creator>Pib </dc:creator>
  <dc:language>de-DE</dc:language>
  <cp:revision>0</cp:revision>
</cp:coreProperties>
</file>